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3B5E" w14:textId="77777777" w:rsidR="001D4FD8" w:rsidRDefault="001D4FD8" w:rsidP="001D4FD8">
      <w:pPr>
        <w:rPr>
          <w:b/>
          <w:bCs/>
        </w:rPr>
      </w:pPr>
      <w:proofErr w:type="spellStart"/>
      <w:r>
        <w:rPr>
          <w:b/>
          <w:bCs/>
        </w:rPr>
        <w:t>Vistry</w:t>
      </w:r>
      <w:proofErr w:type="spellEnd"/>
      <w:r>
        <w:rPr>
          <w:b/>
          <w:bCs/>
        </w:rPr>
        <w:t xml:space="preserve"> Pre-Application Report - Land between Woodchurch Road and, Appledore Road, Tenterden, Kent</w:t>
      </w:r>
    </w:p>
    <w:p w14:paraId="465F4E6E" w14:textId="77777777" w:rsidR="001D4FD8" w:rsidRDefault="001D4FD8" w:rsidP="001D4FD8"/>
    <w:p w14:paraId="51509E2A" w14:textId="77777777" w:rsidR="001D4FD8" w:rsidRDefault="001D4FD8" w:rsidP="001D4FD8">
      <w:pPr>
        <w:rPr>
          <w:lang w:eastAsia="en-GB"/>
          <w14:ligatures w14:val="none"/>
        </w:rPr>
      </w:pPr>
      <w:r>
        <w:t>Dear All</w:t>
      </w:r>
    </w:p>
    <w:p w14:paraId="1CD080AF" w14:textId="77777777" w:rsidR="001D4FD8" w:rsidRDefault="001D4FD8" w:rsidP="001D4FD8">
      <w:r>
        <w:t>  </w:t>
      </w:r>
    </w:p>
    <w:p w14:paraId="05E581BC" w14:textId="77777777" w:rsidR="001D4FD8" w:rsidRDefault="001D4FD8" w:rsidP="001D4FD8">
      <w:r>
        <w:t>Tenterden Neighbourhood Plan (TNP) Committee Responses to the queries presented in the above report and shown below:</w:t>
      </w:r>
    </w:p>
    <w:p w14:paraId="50AEB9B3" w14:textId="77777777" w:rsidR="001D4FD8" w:rsidRDefault="001D4FD8" w:rsidP="001D4FD8">
      <w:r>
        <w:t> </w:t>
      </w:r>
    </w:p>
    <w:p w14:paraId="5A16EEE7" w14:textId="77777777" w:rsidR="001D4FD8" w:rsidRDefault="001D4FD8" w:rsidP="001D4FD8">
      <w:r>
        <w:t>8.5 Advice Being Sought:</w:t>
      </w:r>
    </w:p>
    <w:p w14:paraId="3CD7FCD1" w14:textId="77777777" w:rsidR="001D4FD8" w:rsidRDefault="001D4FD8" w:rsidP="001D4FD8">
      <w:r>
        <w:t> </w:t>
      </w:r>
    </w:p>
    <w:p w14:paraId="450AC327" w14:textId="77777777" w:rsidR="001D4FD8" w:rsidRDefault="001D4FD8" w:rsidP="001D4FD8">
      <w:pPr>
        <w:pStyle w:val="ListParagraph"/>
        <w:numPr>
          <w:ilvl w:val="0"/>
          <w:numId w:val="1"/>
        </w:numPr>
        <w:rPr>
          <w:rFonts w:eastAsia="Times New Roman"/>
        </w:rPr>
      </w:pPr>
      <w:r>
        <w:rPr>
          <w:rFonts w:eastAsia="Times New Roman"/>
        </w:rPr>
        <w:t xml:space="preserve">The principle of development – </w:t>
      </w:r>
      <w:r>
        <w:rPr>
          <w:rFonts w:eastAsia="Times New Roman"/>
          <w:b/>
          <w:bCs/>
        </w:rPr>
        <w:t>Please refer to the draft TNP 2013-2030 Regulation 15: Tenterden Design Code Appendix 1</w:t>
      </w:r>
    </w:p>
    <w:p w14:paraId="48ED9838" w14:textId="77777777" w:rsidR="001D4FD8" w:rsidRDefault="001D4FD8" w:rsidP="001D4FD8">
      <w:pPr>
        <w:pStyle w:val="ListParagraph"/>
        <w:numPr>
          <w:ilvl w:val="0"/>
          <w:numId w:val="1"/>
        </w:numPr>
        <w:rPr>
          <w:rFonts w:eastAsia="Times New Roman"/>
        </w:rPr>
      </w:pPr>
      <w:r>
        <w:rPr>
          <w:rFonts w:eastAsia="Times New Roman"/>
        </w:rPr>
        <w:t xml:space="preserve">The proposed quantum and mix of development - </w:t>
      </w:r>
      <w:r>
        <w:rPr>
          <w:rFonts w:eastAsia="Times New Roman"/>
          <w:b/>
          <w:bCs/>
        </w:rPr>
        <w:t>Please refer to the draft TNP 2013-2030 Regulation 15: Tenterden Design Code Appendix 1; Policy: TEN NP17</w:t>
      </w:r>
    </w:p>
    <w:p w14:paraId="5DF56925" w14:textId="77777777" w:rsidR="001D4FD8" w:rsidRDefault="001D4FD8" w:rsidP="001D4FD8">
      <w:pPr>
        <w:pStyle w:val="ListParagraph"/>
        <w:numPr>
          <w:ilvl w:val="0"/>
          <w:numId w:val="1"/>
        </w:numPr>
        <w:rPr>
          <w:rFonts w:eastAsia="Times New Roman"/>
        </w:rPr>
      </w:pPr>
      <w:r>
        <w:rPr>
          <w:rFonts w:eastAsia="Times New Roman"/>
        </w:rPr>
        <w:t>The proposed layout of development</w:t>
      </w:r>
      <w:r>
        <w:rPr>
          <w:rFonts w:eastAsia="Times New Roman"/>
          <w:b/>
          <w:bCs/>
        </w:rPr>
        <w:t xml:space="preserve"> - Please refer to the draft TNP 2013-2030 Regulation 15: Tenterden Design Code Appendix 1; Policy TEN: NP1, NP2, NP3, NP4, NP7, NP16</w:t>
      </w:r>
    </w:p>
    <w:p w14:paraId="2ACF9140" w14:textId="77777777" w:rsidR="001D4FD8" w:rsidRDefault="001D4FD8" w:rsidP="001D4FD8">
      <w:pPr>
        <w:pStyle w:val="ListParagraph"/>
        <w:numPr>
          <w:ilvl w:val="0"/>
          <w:numId w:val="1"/>
        </w:numPr>
        <w:rPr>
          <w:rFonts w:eastAsia="Times New Roman"/>
        </w:rPr>
      </w:pPr>
      <w:r>
        <w:rPr>
          <w:rFonts w:eastAsia="Times New Roman"/>
        </w:rPr>
        <w:t xml:space="preserve">Comments regarding key design features that should be considered for the proposal and prior to submission of the Reserved Matters Application; </w:t>
      </w:r>
      <w:r>
        <w:rPr>
          <w:rFonts w:eastAsia="Times New Roman"/>
          <w:b/>
          <w:bCs/>
        </w:rPr>
        <w:t>- Please refer to the draft TNP 2013-2030 Regulation 15: Tenterden Design Code Appendix 1; Policy TEN: NP1, NP2, NP3, NP4, NP7, NP16, NP17</w:t>
      </w:r>
    </w:p>
    <w:p w14:paraId="780411CC" w14:textId="77777777" w:rsidR="001D4FD8" w:rsidRDefault="001D4FD8" w:rsidP="001D4FD8">
      <w:pPr>
        <w:pStyle w:val="ListParagraph"/>
        <w:numPr>
          <w:ilvl w:val="0"/>
          <w:numId w:val="1"/>
        </w:numPr>
        <w:rPr>
          <w:rFonts w:eastAsia="Times New Roman"/>
        </w:rPr>
      </w:pPr>
      <w:r>
        <w:rPr>
          <w:rFonts w:eastAsia="Times New Roman"/>
        </w:rPr>
        <w:t xml:space="preserve">Parking arrangements - </w:t>
      </w:r>
      <w:r>
        <w:rPr>
          <w:rFonts w:eastAsia="Times New Roman"/>
          <w:b/>
          <w:bCs/>
        </w:rPr>
        <w:t>Please refer to the draft TNP 2013-2030 Regulation 15: Tenterden Design Code Appendix 1</w:t>
      </w:r>
    </w:p>
    <w:p w14:paraId="4F2BBF3C" w14:textId="77777777" w:rsidR="001D4FD8" w:rsidRDefault="001D4FD8" w:rsidP="001D4FD8">
      <w:pPr>
        <w:pStyle w:val="ListParagraph"/>
        <w:numPr>
          <w:ilvl w:val="0"/>
          <w:numId w:val="1"/>
        </w:numPr>
        <w:rPr>
          <w:rFonts w:eastAsia="Times New Roman"/>
        </w:rPr>
      </w:pPr>
      <w:r>
        <w:rPr>
          <w:rFonts w:eastAsia="Times New Roman"/>
        </w:rPr>
        <w:t xml:space="preserve">Ecology and arboriculture - </w:t>
      </w:r>
      <w:r>
        <w:rPr>
          <w:rFonts w:eastAsia="Times New Roman"/>
          <w:b/>
          <w:bCs/>
        </w:rPr>
        <w:t>Please refer to the draft TNP 2013-2030 Regulation 15: Tenterden Design Code Appendix 1; Policy TEN: NP1, NP2, NP3</w:t>
      </w:r>
    </w:p>
    <w:p w14:paraId="5C545203" w14:textId="77777777" w:rsidR="001D4FD8" w:rsidRDefault="001D4FD8" w:rsidP="001D4FD8">
      <w:pPr>
        <w:pStyle w:val="ListParagraph"/>
        <w:numPr>
          <w:ilvl w:val="0"/>
          <w:numId w:val="1"/>
        </w:numPr>
        <w:rPr>
          <w:rFonts w:eastAsia="Times New Roman"/>
        </w:rPr>
      </w:pPr>
      <w:r>
        <w:rPr>
          <w:rFonts w:eastAsia="Times New Roman"/>
        </w:rPr>
        <w:t xml:space="preserve">Information required with regards to heritage, </w:t>
      </w:r>
      <w:proofErr w:type="gramStart"/>
      <w:r>
        <w:rPr>
          <w:rFonts w:eastAsia="Times New Roman"/>
        </w:rPr>
        <w:t>landscape</w:t>
      </w:r>
      <w:proofErr w:type="gramEnd"/>
      <w:r>
        <w:rPr>
          <w:rFonts w:eastAsia="Times New Roman"/>
        </w:rPr>
        <w:t xml:space="preserve"> and townscape - </w:t>
      </w:r>
      <w:r>
        <w:rPr>
          <w:rFonts w:eastAsia="Times New Roman"/>
          <w:b/>
          <w:bCs/>
        </w:rPr>
        <w:t xml:space="preserve">Please refer to the draft TNP 2013-2030 Regulation 15: Tenterden Design Code Appendix 1; Policy TEN: NP1, NP2, NP3, NP4, NP5, NP7 </w:t>
      </w:r>
    </w:p>
    <w:p w14:paraId="29DB288A" w14:textId="77777777" w:rsidR="001D4FD8" w:rsidRDefault="001D4FD8" w:rsidP="001D4FD8">
      <w:pPr>
        <w:pStyle w:val="ListParagraph"/>
        <w:numPr>
          <w:ilvl w:val="0"/>
          <w:numId w:val="1"/>
        </w:numPr>
        <w:rPr>
          <w:rFonts w:eastAsia="Times New Roman"/>
        </w:rPr>
      </w:pPr>
      <w:r>
        <w:rPr>
          <w:rFonts w:eastAsia="Times New Roman"/>
        </w:rPr>
        <w:t xml:space="preserve">General planning matters and technical considerations applicable to the site - </w:t>
      </w:r>
      <w:r>
        <w:rPr>
          <w:rFonts w:eastAsia="Times New Roman"/>
          <w:b/>
          <w:bCs/>
        </w:rPr>
        <w:t>Please refer to the draft TNP 2013-2030 Regulation 15: Tenterden Design Code Appendix 1; Policy TEN: NP1 to 17</w:t>
      </w:r>
    </w:p>
    <w:p w14:paraId="57AEFBBD" w14:textId="77777777" w:rsidR="001D4FD8" w:rsidRDefault="001D4FD8" w:rsidP="001D4FD8">
      <w:pPr>
        <w:pStyle w:val="ListParagraph"/>
        <w:numPr>
          <w:ilvl w:val="0"/>
          <w:numId w:val="1"/>
        </w:numPr>
        <w:rPr>
          <w:rFonts w:eastAsia="Times New Roman"/>
        </w:rPr>
      </w:pPr>
      <w:r>
        <w:rPr>
          <w:rFonts w:eastAsia="Times New Roman"/>
        </w:rPr>
        <w:t xml:space="preserve">Confirmation of the supporting information required to accompany the planning application – </w:t>
      </w:r>
      <w:r>
        <w:rPr>
          <w:rFonts w:eastAsia="Times New Roman"/>
          <w:b/>
          <w:bCs/>
        </w:rPr>
        <w:t xml:space="preserve">Evidence and professional documentation to adequately address the relevant policies as described </w:t>
      </w:r>
      <w:proofErr w:type="gramStart"/>
      <w:r>
        <w:rPr>
          <w:rFonts w:eastAsia="Times New Roman"/>
          <w:b/>
          <w:bCs/>
        </w:rPr>
        <w:t>above</w:t>
      </w:r>
      <w:proofErr w:type="gramEnd"/>
    </w:p>
    <w:p w14:paraId="6EFC780B" w14:textId="77777777" w:rsidR="001D4FD8" w:rsidRDefault="001D4FD8" w:rsidP="001D4FD8">
      <w:pPr>
        <w:pStyle w:val="ListParagraph"/>
        <w:numPr>
          <w:ilvl w:val="0"/>
          <w:numId w:val="1"/>
        </w:numPr>
        <w:rPr>
          <w:rFonts w:eastAsia="Times New Roman"/>
        </w:rPr>
      </w:pPr>
      <w:r>
        <w:rPr>
          <w:rFonts w:eastAsia="Times New Roman"/>
        </w:rPr>
        <w:t xml:space="preserve">Any other planning matters which apply to the application site and proposals: </w:t>
      </w:r>
      <w:r>
        <w:rPr>
          <w:rFonts w:eastAsia="Times New Roman"/>
          <w:b/>
          <w:bCs/>
        </w:rPr>
        <w:t>Planning matters need to consider the Inspector’s Appeal decision for a ‘Country Park’ and Outline permission for the housing development.  The Country Park must meet the criteria as per the 1968 Countryside Act:</w:t>
      </w:r>
    </w:p>
    <w:p w14:paraId="66963DE6" w14:textId="77777777" w:rsidR="001D4FD8" w:rsidRDefault="001D4FD8" w:rsidP="001D4FD8">
      <w:pPr>
        <w:pStyle w:val="Heading3"/>
        <w:spacing w:before="525" w:beforeAutospacing="0" w:after="0" w:afterAutospacing="0"/>
        <w:rPr>
          <w:rFonts w:eastAsia="Times New Roman"/>
          <w:b w:val="0"/>
          <w:bCs w:val="0"/>
          <w:i/>
          <w:iCs/>
          <w:sz w:val="22"/>
          <w:szCs w:val="22"/>
          <w:u w:val="single"/>
        </w:rPr>
      </w:pPr>
      <w:r>
        <w:rPr>
          <w:rFonts w:eastAsia="Times New Roman"/>
          <w:b w:val="0"/>
          <w:bCs w:val="0"/>
          <w:i/>
          <w:iCs/>
          <w:sz w:val="22"/>
          <w:szCs w:val="22"/>
          <w:u w:val="single"/>
        </w:rPr>
        <w:t>Essential criteria</w:t>
      </w:r>
    </w:p>
    <w:p w14:paraId="2CD17CCB" w14:textId="77777777" w:rsidR="001D4FD8" w:rsidRDefault="001D4FD8" w:rsidP="001D4FD8">
      <w:pPr>
        <w:pStyle w:val="NormalWeb"/>
        <w:spacing w:before="300" w:beforeAutospacing="0" w:after="300" w:afterAutospacing="0"/>
        <w:rPr>
          <w:i/>
          <w:iCs/>
        </w:rPr>
      </w:pPr>
      <w:r>
        <w:rPr>
          <w:i/>
          <w:iCs/>
        </w:rPr>
        <w:t>Country Park must be:</w:t>
      </w:r>
    </w:p>
    <w:p w14:paraId="7BAD4239" w14:textId="77777777" w:rsidR="001D4FD8" w:rsidRDefault="001D4FD8" w:rsidP="001D4FD8">
      <w:pPr>
        <w:numPr>
          <w:ilvl w:val="0"/>
          <w:numId w:val="2"/>
        </w:numPr>
        <w:spacing w:after="75"/>
        <w:ind w:left="1020"/>
        <w:rPr>
          <w:i/>
          <w:iCs/>
        </w:rPr>
      </w:pPr>
      <w:r>
        <w:rPr>
          <w:i/>
          <w:iCs/>
        </w:rPr>
        <w:t>at least 10 hectares in size</w:t>
      </w:r>
    </w:p>
    <w:p w14:paraId="40D273AD" w14:textId="77777777" w:rsidR="001D4FD8" w:rsidRDefault="001D4FD8" w:rsidP="001D4FD8">
      <w:pPr>
        <w:numPr>
          <w:ilvl w:val="0"/>
          <w:numId w:val="2"/>
        </w:numPr>
        <w:spacing w:after="75"/>
        <w:ind w:left="1020"/>
        <w:rPr>
          <w:i/>
          <w:iCs/>
        </w:rPr>
      </w:pPr>
      <w:r>
        <w:rPr>
          <w:i/>
          <w:iCs/>
        </w:rPr>
        <w:t>defined by a clear boundary – marked on a map, whether it’s open or fenced in</w:t>
      </w:r>
    </w:p>
    <w:p w14:paraId="64AC8E22" w14:textId="77777777" w:rsidR="001D4FD8" w:rsidRDefault="001D4FD8" w:rsidP="001D4FD8">
      <w:pPr>
        <w:numPr>
          <w:ilvl w:val="0"/>
          <w:numId w:val="2"/>
        </w:numPr>
        <w:spacing w:after="75"/>
        <w:ind w:left="1020"/>
        <w:rPr>
          <w:i/>
          <w:iCs/>
        </w:rPr>
      </w:pPr>
      <w:r>
        <w:rPr>
          <w:i/>
          <w:iCs/>
        </w:rPr>
        <w:t>accessible – less than 10 miles from a residential area</w:t>
      </w:r>
    </w:p>
    <w:p w14:paraId="4AD5A9D5" w14:textId="77777777" w:rsidR="001D4FD8" w:rsidRDefault="001D4FD8" w:rsidP="001D4FD8">
      <w:pPr>
        <w:numPr>
          <w:ilvl w:val="0"/>
          <w:numId w:val="2"/>
        </w:numPr>
        <w:spacing w:after="75"/>
        <w:ind w:left="1020"/>
        <w:rPr>
          <w:i/>
          <w:iCs/>
        </w:rPr>
      </w:pPr>
      <w:r>
        <w:rPr>
          <w:i/>
          <w:iCs/>
        </w:rPr>
        <w:t xml:space="preserve">free to </w:t>
      </w:r>
      <w:proofErr w:type="gramStart"/>
      <w:r>
        <w:rPr>
          <w:i/>
          <w:iCs/>
        </w:rPr>
        <w:t>enter</w:t>
      </w:r>
      <w:proofErr w:type="gramEnd"/>
    </w:p>
    <w:p w14:paraId="01E13769" w14:textId="77777777" w:rsidR="001D4FD8" w:rsidRDefault="001D4FD8" w:rsidP="001D4FD8">
      <w:pPr>
        <w:numPr>
          <w:ilvl w:val="0"/>
          <w:numId w:val="2"/>
        </w:numPr>
        <w:spacing w:after="75"/>
        <w:ind w:left="1020"/>
        <w:rPr>
          <w:i/>
          <w:iCs/>
        </w:rPr>
      </w:pPr>
      <w:r>
        <w:rPr>
          <w:i/>
          <w:iCs/>
        </w:rPr>
        <w:t xml:space="preserve">inclusive and accessible – show how you’ve met equality and disability needs and provided for varied </w:t>
      </w:r>
      <w:proofErr w:type="gramStart"/>
      <w:r>
        <w:rPr>
          <w:i/>
          <w:iCs/>
        </w:rPr>
        <w:t>groups</w:t>
      </w:r>
      <w:proofErr w:type="gramEnd"/>
    </w:p>
    <w:p w14:paraId="38176141" w14:textId="77777777" w:rsidR="001D4FD8" w:rsidRDefault="001D4FD8" w:rsidP="001D4FD8">
      <w:pPr>
        <w:numPr>
          <w:ilvl w:val="0"/>
          <w:numId w:val="2"/>
        </w:numPr>
        <w:spacing w:after="75"/>
        <w:ind w:left="1020"/>
        <w:rPr>
          <w:i/>
          <w:iCs/>
        </w:rPr>
      </w:pPr>
      <w:r>
        <w:rPr>
          <w:i/>
          <w:iCs/>
        </w:rPr>
        <w:lastRenderedPageBreak/>
        <w:t xml:space="preserve">predominantly natural or semi-natural landscape, for example woodland, grassland, wetland, </w:t>
      </w:r>
      <w:proofErr w:type="gramStart"/>
      <w:r>
        <w:rPr>
          <w:i/>
          <w:iCs/>
        </w:rPr>
        <w:t>heathland</w:t>
      </w:r>
      <w:proofErr w:type="gramEnd"/>
      <w:r>
        <w:rPr>
          <w:i/>
          <w:iCs/>
        </w:rPr>
        <w:t xml:space="preserve"> or parkland, with no more than 5% of the area built upon (excluding car parks)</w:t>
      </w:r>
    </w:p>
    <w:p w14:paraId="73FAD799" w14:textId="77777777" w:rsidR="001D4FD8" w:rsidRDefault="001D4FD8" w:rsidP="001D4FD8">
      <w:pPr>
        <w:numPr>
          <w:ilvl w:val="0"/>
          <w:numId w:val="2"/>
        </w:numPr>
        <w:spacing w:after="75"/>
        <w:ind w:left="1020"/>
        <w:rPr>
          <w:i/>
          <w:iCs/>
        </w:rPr>
      </w:pPr>
      <w:r>
        <w:rPr>
          <w:i/>
          <w:iCs/>
        </w:rPr>
        <w:t xml:space="preserve">signposted and easy to navigate – you should show visitors where they can go, what they can do and direct them along footpaths, bridleways and cycle </w:t>
      </w:r>
      <w:proofErr w:type="gramStart"/>
      <w:r>
        <w:rPr>
          <w:i/>
          <w:iCs/>
        </w:rPr>
        <w:t>routes</w:t>
      </w:r>
      <w:proofErr w:type="gramEnd"/>
    </w:p>
    <w:p w14:paraId="792E0961" w14:textId="77777777" w:rsidR="001D4FD8" w:rsidRDefault="001D4FD8" w:rsidP="001D4FD8">
      <w:pPr>
        <w:numPr>
          <w:ilvl w:val="0"/>
          <w:numId w:val="2"/>
        </w:numPr>
        <w:spacing w:after="75"/>
        <w:ind w:left="1020"/>
        <w:rPr>
          <w:i/>
          <w:iCs/>
        </w:rPr>
      </w:pPr>
      <w:r>
        <w:rPr>
          <w:i/>
          <w:iCs/>
        </w:rPr>
        <w:t>visibly staffed, for example litter collection and maintenance</w:t>
      </w:r>
    </w:p>
    <w:p w14:paraId="762AD7BB" w14:textId="77777777" w:rsidR="001D4FD8" w:rsidRDefault="001D4FD8" w:rsidP="001D4FD8">
      <w:pPr>
        <w:numPr>
          <w:ilvl w:val="0"/>
          <w:numId w:val="2"/>
        </w:numPr>
        <w:spacing w:after="75"/>
        <w:ind w:left="1020"/>
        <w:rPr>
          <w:i/>
          <w:iCs/>
        </w:rPr>
      </w:pPr>
      <w:r>
        <w:rPr>
          <w:i/>
          <w:iCs/>
        </w:rPr>
        <w:t>available for public or educational events</w:t>
      </w:r>
    </w:p>
    <w:p w14:paraId="64A306C2" w14:textId="77777777" w:rsidR="001D4FD8" w:rsidRDefault="001D4FD8" w:rsidP="001D4FD8">
      <w:pPr>
        <w:numPr>
          <w:ilvl w:val="0"/>
          <w:numId w:val="2"/>
        </w:numPr>
        <w:spacing w:after="75"/>
        <w:ind w:left="1020"/>
        <w:rPr>
          <w:i/>
          <w:iCs/>
        </w:rPr>
      </w:pPr>
      <w:r>
        <w:rPr>
          <w:i/>
          <w:iCs/>
        </w:rPr>
        <w:t xml:space="preserve">near public toilets – either on-site or a </w:t>
      </w:r>
      <w:proofErr w:type="gramStart"/>
      <w:r>
        <w:rPr>
          <w:i/>
          <w:iCs/>
        </w:rPr>
        <w:t>2 minute</w:t>
      </w:r>
      <w:proofErr w:type="gramEnd"/>
      <w:r>
        <w:rPr>
          <w:i/>
          <w:iCs/>
        </w:rPr>
        <w:t xml:space="preserve"> walk away</w:t>
      </w:r>
    </w:p>
    <w:p w14:paraId="5D473AFC" w14:textId="77777777" w:rsidR="001D4FD8" w:rsidRDefault="001D4FD8" w:rsidP="001D4FD8">
      <w:pPr>
        <w:numPr>
          <w:ilvl w:val="0"/>
          <w:numId w:val="2"/>
        </w:numPr>
        <w:spacing w:after="75"/>
        <w:ind w:left="1020"/>
        <w:rPr>
          <w:i/>
          <w:iCs/>
        </w:rPr>
      </w:pPr>
      <w:r>
        <w:rPr>
          <w:i/>
          <w:iCs/>
        </w:rPr>
        <w:t xml:space="preserve">informed by the local community – the public should have some influence over the management and development of your </w:t>
      </w:r>
      <w:proofErr w:type="gramStart"/>
      <w:r>
        <w:rPr>
          <w:i/>
          <w:iCs/>
        </w:rPr>
        <w:t>site</w:t>
      </w:r>
      <w:proofErr w:type="gramEnd"/>
    </w:p>
    <w:p w14:paraId="10AEAEB7" w14:textId="77777777" w:rsidR="001D4FD8" w:rsidRDefault="001D4FD8" w:rsidP="001D4FD8">
      <w:pPr>
        <w:spacing w:after="75"/>
        <w:rPr>
          <w:i/>
          <w:iCs/>
        </w:rPr>
      </w:pPr>
    </w:p>
    <w:p w14:paraId="18715BCE" w14:textId="77777777" w:rsidR="001D4FD8" w:rsidRDefault="001D4FD8" w:rsidP="001D4FD8">
      <w:r>
        <w:t xml:space="preserve">In addition, the whole site </w:t>
      </w:r>
      <w:proofErr w:type="gramStart"/>
      <w:r>
        <w:t>has to</w:t>
      </w:r>
      <w:proofErr w:type="gramEnd"/>
      <w:r>
        <w:t xml:space="preserve"> comply as much as possible with Local Character Area 23 as per the Ashford Local Plan.</w:t>
      </w:r>
    </w:p>
    <w:p w14:paraId="4FDB9F96" w14:textId="77777777" w:rsidR="001D4FD8" w:rsidRDefault="001D4FD8" w:rsidP="001D4FD8"/>
    <w:p w14:paraId="37862EB6" w14:textId="77777777" w:rsidR="001D4FD8" w:rsidRDefault="001D4FD8" w:rsidP="001D4FD8">
      <w:r>
        <w:t xml:space="preserve">Tenterden Town Council (TTC) have expressed in their minutes an interest to purchase/ manage the country park. The minutes unfortunately do not state what the benefits would be for TTC (we believe ABC expressed no interest last year which is surprising as they are the lead council for open spaces). If the advantages outweigh the disadvantages, </w:t>
      </w:r>
      <w:r>
        <w:rPr>
          <w:b/>
          <w:bCs/>
        </w:rPr>
        <w:t xml:space="preserve">we </w:t>
      </w:r>
      <w:proofErr w:type="gramStart"/>
      <w:r>
        <w:rPr>
          <w:b/>
          <w:bCs/>
        </w:rPr>
        <w:t>would</w:t>
      </w:r>
      <w:proofErr w:type="gramEnd"/>
      <w:r>
        <w:rPr>
          <w:b/>
          <w:bCs/>
        </w:rPr>
        <w:t xml:space="preserve"> strongly suggest TTC ensure the criteria as per the 1968 Act has been met (and signed off by Ashford LPA) first before any contracts are signed.</w:t>
      </w:r>
      <w:r>
        <w:t xml:space="preserve"> </w:t>
      </w:r>
    </w:p>
    <w:p w14:paraId="31BAC134" w14:textId="77777777" w:rsidR="001D4FD8" w:rsidRDefault="001D4FD8" w:rsidP="001D4FD8"/>
    <w:p w14:paraId="6492AD7F" w14:textId="77777777" w:rsidR="001D4FD8" w:rsidRDefault="001D4FD8" w:rsidP="001D4FD8">
      <w:r>
        <w:t xml:space="preserve">Our understanding of the Appeal decision is that until the Country Park is </w:t>
      </w:r>
      <w:r>
        <w:rPr>
          <w:u w:val="single"/>
        </w:rPr>
        <w:t>fully developed</w:t>
      </w:r>
      <w:r>
        <w:t xml:space="preserve">, the housing </w:t>
      </w:r>
      <w:r>
        <w:rPr>
          <w:u w:val="single"/>
        </w:rPr>
        <w:t>cannot</w:t>
      </w:r>
      <w:r>
        <w:t xml:space="preserve"> start. With Tenterden Wildlife now in existence, they should have an important part to play before TTC makes any decision. As the demand for capital money would exceed the current agreed TTC projects mandate, the public should be consulted on the proposal to purchase/ manage the Country Park – this will incur capital expenditure and ongoing running costs. </w:t>
      </w:r>
    </w:p>
    <w:p w14:paraId="6A16D785" w14:textId="77777777" w:rsidR="001D4FD8" w:rsidRDefault="001D4FD8" w:rsidP="001D4FD8"/>
    <w:p w14:paraId="09570939" w14:textId="77777777" w:rsidR="001D4FD8" w:rsidRDefault="001D4FD8" w:rsidP="001D4FD8">
      <w:proofErr w:type="gramStart"/>
      <w:r>
        <w:t>With regard to</w:t>
      </w:r>
      <w:proofErr w:type="gramEnd"/>
      <w:r>
        <w:t xml:space="preserve"> housing reserve matters, we would like to refer to Tent 1A where the Tenterden &amp; District Residents’ Association (TDRA), ABC, Developers and others were members of the design management Steering Group - it worked very well. We would strongly encourage TTC to put push this collaborative approach with ABC and the developer.</w:t>
      </w:r>
    </w:p>
    <w:p w14:paraId="6B098581" w14:textId="77777777" w:rsidR="001D4FD8" w:rsidRDefault="001D4FD8" w:rsidP="001D4FD8"/>
    <w:p w14:paraId="67538FBC" w14:textId="77777777" w:rsidR="001D4FD8" w:rsidRDefault="001D4FD8" w:rsidP="001D4FD8"/>
    <w:p w14:paraId="0BBE1277" w14:textId="77777777" w:rsidR="001D4FD8" w:rsidRDefault="001D4FD8" w:rsidP="001D4FD8"/>
    <w:p w14:paraId="15D719AD" w14:textId="77777777" w:rsidR="001D4FD8" w:rsidRDefault="001D4FD8" w:rsidP="001D4FD8">
      <w:pPr>
        <w:rPr>
          <w:b/>
          <w:bCs/>
          <w:lang w:eastAsia="en-GB"/>
        </w:rPr>
      </w:pPr>
      <w:r>
        <w:rPr>
          <w:b/>
          <w:bCs/>
          <w:lang w:eastAsia="en-GB"/>
        </w:rPr>
        <w:t>Siggi Nepp</w:t>
      </w:r>
    </w:p>
    <w:p w14:paraId="7800CF65" w14:textId="77777777" w:rsidR="001D4FD8" w:rsidRDefault="001D4FD8" w:rsidP="001D4FD8">
      <w:pPr>
        <w:rPr>
          <w:i/>
          <w:iCs/>
          <w:lang w:eastAsia="en-GB"/>
        </w:rPr>
      </w:pPr>
      <w:r>
        <w:rPr>
          <w:i/>
          <w:iCs/>
          <w:lang w:eastAsia="en-GB"/>
        </w:rPr>
        <w:t>Chair</w:t>
      </w:r>
    </w:p>
    <w:p w14:paraId="522155D1" w14:textId="77777777" w:rsidR="001D4FD8" w:rsidRDefault="001D4FD8" w:rsidP="001D4FD8">
      <w:pPr>
        <w:rPr>
          <w:i/>
          <w:iCs/>
          <w:sz w:val="2"/>
          <w:szCs w:val="2"/>
          <w:lang w:eastAsia="en-GB"/>
        </w:rPr>
      </w:pPr>
    </w:p>
    <w:p w14:paraId="63E62424" w14:textId="77777777" w:rsidR="001D4FD8" w:rsidRDefault="001D4FD8" w:rsidP="001D4FD8">
      <w:pPr>
        <w:rPr>
          <w:lang w:eastAsia="en-GB"/>
        </w:rPr>
      </w:pPr>
      <w:r>
        <w:rPr>
          <w:lang w:eastAsia="en-GB"/>
        </w:rPr>
        <w:t>tenterdenneighbourhoodplan.org</w:t>
      </w:r>
    </w:p>
    <w:p w14:paraId="0F056487" w14:textId="77777777" w:rsidR="001D4FD8" w:rsidRDefault="001D4FD8" w:rsidP="001D4FD8">
      <w:pPr>
        <w:rPr>
          <w:sz w:val="12"/>
          <w:szCs w:val="12"/>
          <w:lang w:eastAsia="en-GB"/>
        </w:rPr>
      </w:pPr>
    </w:p>
    <w:p w14:paraId="5CEE54A6" w14:textId="7EDC2A82" w:rsidR="001D4FD8" w:rsidRDefault="001D4FD8" w:rsidP="001D4FD8">
      <w:pPr>
        <w:rPr>
          <w:lang w:eastAsia="en-GB"/>
        </w:rPr>
      </w:pPr>
      <w:r>
        <w:rPr>
          <w:noProof/>
          <w:lang w:eastAsia="en-GB"/>
        </w:rPr>
        <w:drawing>
          <wp:inline distT="0" distB="0" distL="0" distR="0" wp14:anchorId="13F078A6" wp14:editId="5480AA55">
            <wp:extent cx="1076325" cy="1104900"/>
            <wp:effectExtent l="0" t="0" r="9525" b="0"/>
            <wp:docPr id="285555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6325" cy="1104900"/>
                    </a:xfrm>
                    <a:prstGeom prst="rect">
                      <a:avLst/>
                    </a:prstGeom>
                    <a:noFill/>
                    <a:ln>
                      <a:noFill/>
                    </a:ln>
                  </pic:spPr>
                </pic:pic>
              </a:graphicData>
            </a:graphic>
          </wp:inline>
        </w:drawing>
      </w:r>
    </w:p>
    <w:p w14:paraId="6F6988FA" w14:textId="77777777" w:rsidR="001D4FD8" w:rsidRDefault="001D4FD8"/>
    <w:sectPr w:rsidR="00011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1DA"/>
    <w:multiLevelType w:val="multilevel"/>
    <w:tmpl w:val="0FBAA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A5DC7"/>
    <w:multiLevelType w:val="multilevel"/>
    <w:tmpl w:val="E28A7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054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4974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D8"/>
    <w:rsid w:val="001C028D"/>
    <w:rsid w:val="001D4FD8"/>
    <w:rsid w:val="00355C4C"/>
    <w:rsid w:val="009D7522"/>
    <w:rsid w:val="00B9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3857"/>
  <w15:chartTrackingRefBased/>
  <w15:docId w15:val="{AEE5A69D-3399-461F-B370-035F531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FD8"/>
    <w:pPr>
      <w:spacing w:after="0" w:line="240" w:lineRule="auto"/>
    </w:pPr>
    <w:rPr>
      <w:rFonts w:ascii="Calibri" w:hAnsi="Calibri" w:cs="Calibri"/>
      <w:kern w:val="0"/>
    </w:rPr>
  </w:style>
  <w:style w:type="paragraph" w:styleId="Heading3">
    <w:name w:val="heading 3"/>
    <w:basedOn w:val="Normal"/>
    <w:link w:val="Heading3Char"/>
    <w:uiPriority w:val="9"/>
    <w:semiHidden/>
    <w:unhideWhenUsed/>
    <w:qFormat/>
    <w:rsid w:val="001D4FD8"/>
    <w:pPr>
      <w:spacing w:before="100" w:beforeAutospacing="1" w:after="100" w:afterAutospacing="1"/>
      <w:outlineLvl w:val="2"/>
    </w:pPr>
    <w:rPr>
      <w:b/>
      <w:bCs/>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D4FD8"/>
    <w:rPr>
      <w:rFonts w:ascii="Calibri" w:hAnsi="Calibri" w:cs="Calibri"/>
      <w:b/>
      <w:bCs/>
      <w:kern w:val="0"/>
      <w:sz w:val="27"/>
      <w:szCs w:val="27"/>
      <w:lang w:eastAsia="en-GB"/>
      <w14:ligatures w14:val="none"/>
    </w:rPr>
  </w:style>
  <w:style w:type="paragraph" w:styleId="NormalWeb">
    <w:name w:val="Normal (Web)"/>
    <w:basedOn w:val="Normal"/>
    <w:uiPriority w:val="99"/>
    <w:semiHidden/>
    <w:unhideWhenUsed/>
    <w:rsid w:val="001D4FD8"/>
    <w:pPr>
      <w:spacing w:before="100" w:beforeAutospacing="1" w:after="100" w:afterAutospacing="1"/>
    </w:pPr>
    <w:rPr>
      <w:lang w:eastAsia="en-GB"/>
      <w14:ligatures w14:val="none"/>
    </w:rPr>
  </w:style>
  <w:style w:type="paragraph" w:styleId="ListParagraph">
    <w:name w:val="List Paragraph"/>
    <w:basedOn w:val="Normal"/>
    <w:uiPriority w:val="34"/>
    <w:qFormat/>
    <w:rsid w:val="001D4FD8"/>
    <w:pPr>
      <w:ind w:left="720"/>
    </w:pPr>
    <w:rPr>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00E9.4B5D0BE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dc:description/>
  <cp:lastModifiedBy>Deputy Town Clerk</cp:lastModifiedBy>
  <cp:revision>1</cp:revision>
  <dcterms:created xsi:type="dcterms:W3CDTF">2023-10-17T12:54:00Z</dcterms:created>
  <dcterms:modified xsi:type="dcterms:W3CDTF">2023-10-17T12:55:00Z</dcterms:modified>
</cp:coreProperties>
</file>